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6D57B0B9" w:rsidR="00795B2B" w:rsidRPr="00602103" w:rsidRDefault="00611D5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2330276"/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160" w:type="dxa"/>
          </w:tcPr>
          <w:p w14:paraId="7538A953" w14:textId="390567A6" w:rsidR="00795B2B" w:rsidRPr="00602103" w:rsidRDefault="00611D5B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KCFD</w:t>
            </w:r>
          </w:p>
        </w:tc>
        <w:tc>
          <w:tcPr>
            <w:tcW w:w="5400" w:type="dxa"/>
          </w:tcPr>
          <w:p w14:paraId="778CE2CD" w14:textId="77777777" w:rsidR="00795B2B" w:rsidRDefault="00611D5B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is very broad and open to interpretation and subjectivity with regards to EMS providers deeming a person “at risk for unintentional opioid overdose.”  Due to this subjectivity, I am very uncomfortable with the word “shall” being added to the policy language.  I believe the liability would be too great for individual responders and agencies if</w:t>
            </w:r>
            <w:r w:rsidR="001429FE">
              <w:rPr>
                <w:rFonts w:ascii="Arial" w:hAnsi="Arial" w:cs="Arial"/>
                <w:sz w:val="22"/>
                <w:szCs w:val="22"/>
              </w:rPr>
              <w:t xml:space="preserve"> EMS personnel failed to identify a person on scene who might be at risk.  The policy is clear that these individuals could theoretically be anybody on scene or with the patient.  I would ask that before the word “shall” is implemented KCEMS seek advice from County Counsel, Bakersfield City Attorney’s Office, Cal City Attorney’s Office, and private ambulance legal counsel.  </w:t>
            </w:r>
          </w:p>
          <w:p w14:paraId="72B0EC8B" w14:textId="77777777" w:rsidR="001429FE" w:rsidRDefault="001429FE" w:rsidP="00456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DAF4E" w14:textId="77777777" w:rsidR="00A315FD" w:rsidRDefault="001429FE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Additionally, language </w:t>
            </w:r>
            <w:r w:rsidR="00A315FD">
              <w:rPr>
                <w:rFonts w:ascii="Arial" w:hAnsi="Arial" w:cs="Arial"/>
                <w:sz w:val="22"/>
                <w:szCs w:val="22"/>
              </w:rPr>
              <w:t xml:space="preserve">should be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included that specifically denies the public’s right to simply call 911 or </w:t>
            </w:r>
            <w:r w:rsidR="00A315FD">
              <w:rPr>
                <w:rFonts w:ascii="Arial" w:hAnsi="Arial" w:cs="Arial"/>
                <w:sz w:val="22"/>
                <w:szCs w:val="22"/>
              </w:rPr>
              <w:t>ambulance dispatch to request delivery of a device.  We have seen a huge uptick in all calls for service (both emergency and non-emergency) the past few years with no increase in staffing.  This policy absolutely should not add to our call volume, whether it remains as-is or amended to a mandate.</w:t>
            </w:r>
          </w:p>
          <w:p w14:paraId="291051FB" w14:textId="77777777" w:rsidR="00A315FD" w:rsidRDefault="00A315FD" w:rsidP="00456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CE183" w14:textId="3F979432" w:rsidR="0051583C" w:rsidRDefault="00A315FD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Furthermore, I would </w:t>
            </w:r>
            <w:r w:rsidR="00637B51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sz w:val="22"/>
                <w:szCs w:val="22"/>
              </w:rPr>
              <w:t xml:space="preserve">encourage KCEMS to identify those areas of the county that are seeing the largest increase in overdoses and initiate an aggressive public education campaign to include </w:t>
            </w:r>
            <w:r w:rsidR="0051583C">
              <w:rPr>
                <w:rFonts w:ascii="Arial" w:hAnsi="Arial" w:cs="Arial"/>
                <w:sz w:val="22"/>
                <w:szCs w:val="22"/>
              </w:rPr>
              <w:t xml:space="preserve">PSAs, radio and television ads, billboards, social media posts, news articles, interviews, etc.  The </w:t>
            </w:r>
            <w:r w:rsidR="0051583C">
              <w:rPr>
                <w:rFonts w:ascii="Arial" w:hAnsi="Arial" w:cs="Arial"/>
                <w:sz w:val="22"/>
                <w:szCs w:val="22"/>
              </w:rPr>
              <w:lastRenderedPageBreak/>
              <w:t xml:space="preserve">media campaign should highlight retail pharmacies that offer free naloxone along with the obvious admonishments regarding opioid dangers.  </w:t>
            </w:r>
          </w:p>
          <w:p w14:paraId="5B96431E" w14:textId="77777777" w:rsidR="0051583C" w:rsidRDefault="0051583C" w:rsidP="00456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B0CD" w14:textId="315008B9" w:rsidR="003435A4" w:rsidRDefault="00865319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Finally, my objection to this change includes the potential economic impact it could have to agencies, both public and private.  It’s my understanding DHCS is not in a position to supply the required doses to implement this change</w:t>
            </w:r>
            <w:r w:rsidR="00637B51">
              <w:rPr>
                <w:rFonts w:ascii="Arial" w:hAnsi="Arial" w:cs="Arial"/>
                <w:sz w:val="22"/>
                <w:szCs w:val="22"/>
              </w:rPr>
              <w:t>, and lacking pharmaceutical price controls, our potential costs are incalculable.</w:t>
            </w:r>
          </w:p>
          <w:p w14:paraId="6A11E045" w14:textId="77777777" w:rsidR="003435A4" w:rsidRDefault="003435A4" w:rsidP="00456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4D44F" w14:textId="2ED077C3" w:rsidR="001429FE" w:rsidRPr="00602103" w:rsidRDefault="003435A4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Thank you for your time.  </w:t>
            </w:r>
            <w:r w:rsidR="008653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5F07321D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4A2723">
      <w:rPr>
        <w:sz w:val="24"/>
        <w:szCs w:val="24"/>
      </w:rPr>
      <w:t>Narcan leave behind</w:t>
    </w:r>
    <w:r w:rsidR="00A236AE">
      <w:rPr>
        <w:sz w:val="24"/>
        <w:szCs w:val="24"/>
      </w:rPr>
      <w:t xml:space="preserve">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115FCC0F" w:rsidR="00795B2B" w:rsidRDefault="00A236A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August </w:t>
    </w:r>
    <w:r w:rsidR="004A2723">
      <w:rPr>
        <w:sz w:val="24"/>
        <w:szCs w:val="24"/>
      </w:rPr>
      <w:t>1st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  <w:r w:rsidR="009E402C">
      <w:rPr>
        <w:sz w:val="24"/>
        <w:szCs w:val="24"/>
      </w:rPr>
      <w:t xml:space="preserve"> through </w:t>
    </w:r>
    <w:r w:rsidR="004A2723">
      <w:rPr>
        <w:sz w:val="24"/>
        <w:szCs w:val="24"/>
      </w:rPr>
      <w:t>August</w:t>
    </w:r>
    <w:r>
      <w:rPr>
        <w:sz w:val="24"/>
        <w:szCs w:val="24"/>
      </w:rPr>
      <w:t xml:space="preserve"> </w:t>
    </w:r>
    <w:r w:rsidR="004A2723">
      <w:rPr>
        <w:sz w:val="24"/>
        <w:szCs w:val="24"/>
      </w:rPr>
      <w:t>31</w:t>
    </w:r>
    <w:r w:rsidR="004A2723">
      <w:rPr>
        <w:sz w:val="24"/>
        <w:szCs w:val="24"/>
        <w:vertAlign w:val="superscript"/>
      </w:rPr>
      <w:t>st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429FE"/>
    <w:rsid w:val="0016659F"/>
    <w:rsid w:val="00196A52"/>
    <w:rsid w:val="002245D2"/>
    <w:rsid w:val="003435A4"/>
    <w:rsid w:val="0041504D"/>
    <w:rsid w:val="004A2723"/>
    <w:rsid w:val="004A3FF8"/>
    <w:rsid w:val="004D75DF"/>
    <w:rsid w:val="0051583C"/>
    <w:rsid w:val="005C0F65"/>
    <w:rsid w:val="00611D5B"/>
    <w:rsid w:val="00637B51"/>
    <w:rsid w:val="006970A3"/>
    <w:rsid w:val="006C622A"/>
    <w:rsid w:val="00795B2B"/>
    <w:rsid w:val="00865319"/>
    <w:rsid w:val="008A7575"/>
    <w:rsid w:val="00981B0B"/>
    <w:rsid w:val="009E402C"/>
    <w:rsid w:val="009E5EE0"/>
    <w:rsid w:val="00A236AE"/>
    <w:rsid w:val="00A315FD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Marcus Rodriguez</cp:lastModifiedBy>
  <cp:revision>3</cp:revision>
  <dcterms:created xsi:type="dcterms:W3CDTF">2022-08-25T21:35:00Z</dcterms:created>
  <dcterms:modified xsi:type="dcterms:W3CDTF">2022-08-25T21:41:00Z</dcterms:modified>
</cp:coreProperties>
</file>